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SOPMetadata"/>
        <w:shd w:fill="F4F6F9" w:val="clear"/>
      </w:pPr>
      <w:r>
        <w:t>---</w:t>
      </w:r>
    </w:p>
    <w:p>
      <w:pPr>
        <w:pStyle w:val="SOPMetadata"/>
        <w:shd w:fill="F4F6F9" w:val="clear"/>
      </w:pPr>
      <w:r>
        <w:t>name: evidence-brief-sop</w:t>
      </w:r>
    </w:p>
    <w:p>
      <w:pPr>
        <w:pStyle w:val="SOPMetadata"/>
        <w:shd w:fill="F4F6F9" w:val="clear"/>
      </w:pPr>
      <w:r>
        <w:t>description: Convert a supplied source packet into a concise decision brief with explicit citations, calculations, contradictions, unknowns and actions.</w:t>
      </w:r>
    </w:p>
    <w:p>
      <w:pPr>
        <w:pStyle w:val="SOPMetadata"/>
        <w:shd w:fill="F4F6F9" w:val="clear"/>
      </w:pPr>
      <w:r>
        <w:t>type: prompt</w:t>
      </w:r>
    </w:p>
    <w:p>
      <w:pPr>
        <w:pStyle w:val="SOPMetadata"/>
        <w:shd w:fill="F4F6F9" w:val="clear"/>
      </w:pPr>
      <w:r>
        <w:t>whenToUse: When the user asks for a decision brief, evidence brief, go-no-go note, change summary or source-grounded recommendation from material they provide.</w:t>
      </w:r>
    </w:p>
    <w:p>
      <w:pPr>
        <w:pStyle w:val="SOPMetadata"/>
        <w:shd w:fill="F4F6F9" w:val="clear"/>
      </w:pPr>
      <w:r>
        <w:t>disableModelInvocation: true</w:t>
      </w:r>
    </w:p>
    <w:p>
      <w:pPr>
        <w:pStyle w:val="SOPMetadata"/>
        <w:shd w:fill="F4F6F9" w:val="clear"/>
      </w:pPr>
      <w:r>
        <w:t>---</w:t>
      </w:r>
    </w:p>
    <w:p>
      <w:pPr>
        <w:pStyle w:val="Heading1"/>
      </w:pPr>
      <w:r>
        <w:t>Evidence Brief SOP</w:t>
      </w:r>
    </w:p>
    <w:p>
      <w:pPr>
        <w:pStyle w:val="Heading2"/>
      </w:pPr>
      <w:r>
        <w:t>Purpose</w:t>
      </w:r>
    </w:p>
    <w:p>
      <w:pPr/>
      <w:r>
        <w:t>Turn a user-supplied source packet into a concise, auditable decision brief. The Skill must preserve facts, make uncertainty visible and use the same output structure every time.</w:t>
      </w:r>
    </w:p>
    <w:p>
      <w:pPr>
        <w:pStyle w:val="Heading2"/>
      </w:pPr>
      <w:r>
        <w:t>Scope</w:t>
      </w:r>
    </w:p>
    <w:p>
      <w:pPr/>
      <w:r>
        <w:t>Use this workflow only when the user supplies the evidence to analyze. Do not browse, call external tools or add background facts unless the user explicitly authorizes that work in a separate request.</w:t>
      </w:r>
    </w:p>
    <w:p>
      <w:pPr>
        <w:pStyle w:val="Heading2"/>
      </w:pPr>
      <w:r>
        <w:t>Operating rules</w:t>
      </w:r>
    </w:p>
    <w:p>
      <w:pPr>
        <w:pStyle w:val="SOPNumber"/>
        <w:numPr>
          <w:ilvl w:val="0"/>
          <w:numId w:val="10"/>
        </w:numPr>
      </w:pPr>
      <w:r>
        <w:t>Treat every source label such as [S1] as authoritative only for the text inside that source packet.</w:t>
      </w:r>
    </w:p>
    <w:p>
      <w:pPr>
        <w:pStyle w:val="SOPNumber"/>
        <w:numPr>
          <w:ilvl w:val="0"/>
          <w:numId w:val="10"/>
        </w:numPr>
      </w:pPr>
      <w:r>
        <w:t>Cite every factual sentence or table row with one or more supplied source labels.</w:t>
      </w:r>
    </w:p>
    <w:p>
      <w:pPr>
        <w:pStyle w:val="SOPNumber"/>
        <w:numPr>
          <w:ilvl w:val="0"/>
          <w:numId w:val="10"/>
        </w:numPr>
      </w:pPr>
      <w:r>
        <w:t>Preserve names, dates, units, percentages, currencies and status words exactly.</w:t>
      </w:r>
    </w:p>
    <w:p>
      <w:pPr>
        <w:pStyle w:val="SOPNumber"/>
        <w:numPr>
          <w:ilvl w:val="0"/>
          <w:numId w:val="10"/>
        </w:numPr>
      </w:pPr>
      <w:r>
        <w:t>Never silently resolve a contradiction. State both versions, cite both and explain what must be verified.</w:t>
      </w:r>
    </w:p>
    <w:p>
      <w:pPr>
        <w:pStyle w:val="SOPNumber"/>
        <w:numPr>
          <w:ilvl w:val="0"/>
          <w:numId w:val="10"/>
        </w:numPr>
      </w:pPr>
      <w:r>
        <w:t>Write Not provided when a required fact is absent. Do not infer an owner, date, threshold, cause or decision criterion.</w:t>
      </w:r>
    </w:p>
    <w:p>
      <w:pPr>
        <w:pStyle w:val="SOPNumber"/>
        <w:numPr>
          <w:ilvl w:val="0"/>
          <w:numId w:val="10"/>
        </w:numPr>
      </w:pPr>
      <w:r>
        <w:t>Recalculate every material number. Show the formula, intermediate values and final value with the source's precision and currency.</w:t>
      </w:r>
    </w:p>
    <w:p>
      <w:pPr>
        <w:pStyle w:val="SOPNumber"/>
        <w:numPr>
          <w:ilvl w:val="0"/>
          <w:numId w:val="10"/>
        </w:numPr>
      </w:pPr>
      <w:r>
        <w:t>Apply an explicit decision rule when the packet provides one. If it does not, use No decision — criteria not provided.</w:t>
      </w:r>
    </w:p>
    <w:p>
      <w:pPr>
        <w:pStyle w:val="SOPNumber"/>
        <w:numPr>
          <w:ilvl w:val="0"/>
          <w:numId w:val="10"/>
        </w:numPr>
      </w:pPr>
      <w:r>
        <w:t>Do not claim that planned, scheduled, pending or due work is complete.</w:t>
      </w:r>
    </w:p>
    <w:p>
      <w:pPr>
        <w:pStyle w:val="SOPNumber"/>
        <w:numPr>
          <w:ilvl w:val="0"/>
          <w:numId w:val="10"/>
        </w:numPr>
      </w:pPr>
      <w:r>
        <w:t>Keep recommendations proportional to the evidence. A source-grounded action may be recommended; an unsupported outcome may not.</w:t>
      </w:r>
    </w:p>
    <w:p>
      <w:pPr>
        <w:pStyle w:val="SOPNumber"/>
        <w:numPr>
          <w:ilvl w:val="0"/>
          <w:numId w:val="10"/>
        </w:numPr>
      </w:pPr>
      <w:r>
        <w:t>Keep the brief concise: use short paragraphs and tables rather than repeating the source packet.</w:t>
      </w:r>
    </w:p>
    <w:p>
      <w:pPr>
        <w:pStyle w:val="Heading2"/>
      </w:pPr>
      <w:r>
        <w:t>Procedure</w:t>
      </w:r>
    </w:p>
    <w:p>
      <w:pPr>
        <w:pStyle w:val="Heading3"/>
      </w:pPr>
      <w:r>
        <w:t>1. Inventory the evidence</w:t>
      </w:r>
    </w:p>
    <w:p>
      <w:pPr>
        <w:pStyle w:val="SOPBullet"/>
        <w:numPr>
          <w:ilvl w:val="0"/>
          <w:numId w:val="11"/>
        </w:numPr>
      </w:pPr>
      <w:r>
        <w:t>List each supplied source ID.</w:t>
      </w:r>
    </w:p>
    <w:p>
      <w:pPr>
        <w:pStyle w:val="SOPBullet"/>
        <w:numPr>
          <w:ilvl w:val="0"/>
          <w:numId w:val="11"/>
        </w:numPr>
      </w:pPr>
      <w:r>
        <w:t>Identify the decision requested, audience and stated decision criteria.</w:t>
      </w:r>
    </w:p>
    <w:p>
      <w:pPr>
        <w:pStyle w:val="SOPBullet"/>
        <w:numPr>
          <w:ilvl w:val="0"/>
          <w:numId w:val="11"/>
        </w:numPr>
      </w:pPr>
      <w:r>
        <w:t>Identify material numbers, dates, owners, dependencies and status terms.</w:t>
      </w:r>
    </w:p>
    <w:p>
      <w:pPr>
        <w:pStyle w:val="Heading3"/>
      </w:pPr>
      <w:r>
        <w:t>2. Build the ground-truth ledger</w:t>
      </w:r>
    </w:p>
    <w:p>
      <w:pPr/>
      <w:r>
        <w:t>For each material claim, record:</w:t>
      </w:r>
    </w:p>
    <w:p>
      <w:pPr>
        <w:pStyle w:val="SOPBullet"/>
        <w:numPr>
          <w:ilvl w:val="0"/>
          <w:numId w:val="11"/>
        </w:numPr>
      </w:pPr>
      <w:r>
        <w:t>the exact fact;</w:t>
      </w:r>
    </w:p>
    <w:p>
      <w:pPr>
        <w:pStyle w:val="SOPBullet"/>
        <w:numPr>
          <w:ilvl w:val="0"/>
          <w:numId w:val="11"/>
        </w:numPr>
      </w:pPr>
      <w:r>
        <w:t>its source ID;</w:t>
      </w:r>
    </w:p>
    <w:p>
      <w:pPr>
        <w:pStyle w:val="SOPBullet"/>
        <w:numPr>
          <w:ilvl w:val="0"/>
          <w:numId w:val="11"/>
        </w:numPr>
      </w:pPr>
      <w:r>
        <w:t>whether it is Direct, Calculated, Contradicted or Not provided; and</w:t>
      </w:r>
    </w:p>
    <w:p>
      <w:pPr>
        <w:pStyle w:val="SOPBullet"/>
        <w:numPr>
          <w:ilvl w:val="0"/>
          <w:numId w:val="11"/>
        </w:numPr>
      </w:pPr>
      <w:r>
        <w:t>any formula or verification needed.</w:t>
      </w:r>
    </w:p>
    <w:p>
      <w:pPr>
        <w:pStyle w:val="Heading3"/>
      </w:pPr>
      <w:r>
        <w:t>3. Apply the decision rule</w:t>
      </w:r>
    </w:p>
    <w:p>
      <w:pPr>
        <w:pStyle w:val="SOPBullet"/>
        <w:numPr>
          <w:ilvl w:val="0"/>
          <w:numId w:val="11"/>
        </w:numPr>
      </w:pPr>
      <w:r>
        <w:t>Test each criterion separately.</w:t>
      </w:r>
    </w:p>
    <w:p>
      <w:pPr>
        <w:pStyle w:val="SOPBullet"/>
        <w:numPr>
          <w:ilvl w:val="0"/>
          <w:numId w:val="11"/>
        </w:numPr>
      </w:pPr>
      <w:r>
        <w:t>Use Proceed only when every mandatory criterion is supported as satisfied.</w:t>
      </w:r>
    </w:p>
    <w:p>
      <w:pPr>
        <w:pStyle w:val="SOPBullet"/>
        <w:numPr>
          <w:ilvl w:val="0"/>
          <w:numId w:val="11"/>
        </w:numPr>
      </w:pPr>
      <w:r>
        <w:t>Use Hold when a mandatory criterion is failed, pending, contradicted or not provided.</w:t>
      </w:r>
    </w:p>
    <w:p>
      <w:pPr>
        <w:pStyle w:val="SOPBullet"/>
        <w:numPr>
          <w:ilvl w:val="0"/>
          <w:numId w:val="11"/>
        </w:numPr>
      </w:pPr>
      <w:r>
        <w:t>Use No decision when the packet gives no usable decision rule.</w:t>
      </w:r>
    </w:p>
    <w:p>
      <w:pPr>
        <w:pStyle w:val="Heading3"/>
      </w:pPr>
      <w:r>
        <w:t>4. Produce the fixed output</w:t>
      </w:r>
    </w:p>
    <w:p>
      <w:pPr/>
      <w:r>
        <w:t>Use the sections below in this exact order.</w:t>
      </w:r>
    </w:p>
    <w:p>
      <w:pPr>
        <w:pStyle w:val="Heading2"/>
      </w:pPr>
      <w:r>
        <w:t>Required output format</w:t>
      </w:r>
    </w:p>
    <w:p>
      <w:pPr>
        <w:pStyle w:val="Heading3"/>
      </w:pPr>
      <w:r>
        <w:t>Decision</w:t>
      </w:r>
    </w:p>
    <w:p>
      <w:pPr/>
      <w:r>
        <w:t>Proceed, Hold or No decision, followed by one sentence explaining why with citations.</w:t>
      </w:r>
    </w:p>
    <w:p>
      <w:pPr>
        <w:pStyle w:val="Heading3"/>
      </w:pPr>
      <w:r>
        <w:t>Executive brief</w:t>
      </w:r>
    </w:p>
    <w:p>
      <w:pPr/>
      <w:r>
        <w:t>Three bullets only. Each bullet must contain at least one source citation.</w:t>
      </w:r>
    </w:p>
    <w:p>
      <w:pPr>
        <w:pStyle w:val="Heading3"/>
      </w:pPr>
      <w:r>
        <w:t>Evidence ledger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CellMar>
          <w:top w:w="80" w:type="dxa"/>
          <w:bottom w:w="80" w:type="dxa"/>
          <w:start w:w="120" w:type="dxa"/>
          <w:end w:w="120" w:type="dxa"/>
        </w:tblCellMar>
      </w:tblPr>
      <w:tblGrid>
        <w:gridCol w:w="4500"/>
        <w:gridCol w:w="1440"/>
        <w:gridCol w:w="3420"/>
      </w:tblGrid>
      <w:tr>
        <w:trPr>
          <w:tblHeader w:val="true"/>
        </w:trPr>
        <w:tc>
          <w:tcPr>
            <w:tcW w:type="dxa" w:w="4500"/>
            <w:vAlign w:val="center"/>
            <w:shd w:fill="E8EEF5" w:val="clear"/>
          </w:tcPr>
          <w:p>
            <w:pPr>
              <w:pStyle w:val="SOPTableText"/>
            </w:pPr>
            <w:r>
              <w:rPr>
                <w:b/>
              </w:rPr>
              <w:t>Claim</w:t>
            </w:r>
          </w:p>
        </w:tc>
        <w:tc>
          <w:tcPr>
            <w:tcW w:type="dxa" w:w="1440"/>
            <w:vAlign w:val="center"/>
            <w:shd w:fill="E8EEF5" w:val="clear"/>
          </w:tcPr>
          <w:p>
            <w:pPr>
              <w:pStyle w:val="SOPTableText"/>
            </w:pPr>
            <w:r>
              <w:rPr>
                <w:b/>
              </w:rPr>
              <w:t>Source</w:t>
            </w:r>
          </w:p>
        </w:tc>
        <w:tc>
          <w:tcPr>
            <w:tcW w:type="dxa" w:w="3420"/>
            <w:vAlign w:val="center"/>
            <w:shd w:fill="E8EEF5" w:val="clear"/>
          </w:tcPr>
          <w:p>
            <w:pPr>
              <w:pStyle w:val="SOPTableText"/>
            </w:pPr>
            <w:r>
              <w:rPr>
                <w:b/>
              </w:rPr>
              <w:t>Status</w:t>
            </w:r>
          </w:p>
        </w:tc>
      </w:tr>
      <w:tr>
        <w:tc>
          <w:tcPr>
            <w:tcW w:type="dxa" w:w="4500"/>
            <w:vAlign w:val="center"/>
          </w:tcPr>
          <w:p>
            <w:pPr>
              <w:pStyle w:val="SOPTableText"/>
            </w:pPr>
            <w:r>
              <w:t>Concise claim</w:t>
            </w:r>
          </w:p>
        </w:tc>
        <w:tc>
          <w:tcPr>
            <w:tcW w:type="dxa" w:w="1440"/>
            <w:vAlign w:val="center"/>
          </w:tcPr>
          <w:p>
            <w:pPr>
              <w:pStyle w:val="SOPTableText"/>
            </w:pPr>
            <w:r>
              <w:t>[S#]</w:t>
            </w:r>
          </w:p>
        </w:tc>
        <w:tc>
          <w:tcPr>
            <w:tcW w:type="dxa" w:w="3420"/>
            <w:vAlign w:val="center"/>
          </w:tcPr>
          <w:p>
            <w:pPr>
              <w:pStyle w:val="SOPTableText"/>
            </w:pPr>
            <w:r>
              <w:t>Direct / Calculated / Contradicted / Not provided</w:t>
            </w:r>
          </w:p>
        </w:tc>
      </w:tr>
    </w:tbl>
    <w:p>
      <w:pPr>
        <w:pStyle w:val="Heading3"/>
      </w:pPr>
      <w:r>
        <w:t>Calculations or changes</w:t>
      </w:r>
    </w:p>
    <w:p>
      <w:pPr/>
      <w:r>
        <w:t>Show formulas for numerical tasks. For comparison tasks, show an old-versus-new or option-versus-criterion table. If neither applies, write None required.</w:t>
      </w:r>
    </w:p>
    <w:p>
      <w:pPr>
        <w:pStyle w:val="Heading3"/>
      </w:pPr>
      <w:r>
        <w:t>Unknowns and contradictions</w:t>
      </w:r>
    </w:p>
    <w:p>
      <w:pPr/>
      <w:r>
        <w:t>List each material gap or conflict with source citations. If there are none, write None identified in the supplied packet.</w:t>
      </w:r>
    </w:p>
    <w:p>
      <w:pPr>
        <w:pStyle w:val="Heading3"/>
      </w:pPr>
      <w:r>
        <w:t>Actions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CellMar>
          <w:top w:w="80" w:type="dxa"/>
          <w:bottom w:w="80" w:type="dxa"/>
          <w:start w:w="120" w:type="dxa"/>
          <w:end w:w="120" w:type="dxa"/>
        </w:tblCellMar>
      </w:tblPr>
      <w:tblGrid>
        <w:gridCol w:w="4680"/>
        <w:gridCol w:w="2160"/>
        <w:gridCol w:w="2520"/>
      </w:tblGrid>
      <w:tr>
        <w:trPr>
          <w:tblHeader w:val="true"/>
        </w:trPr>
        <w:tc>
          <w:tcPr>
            <w:tcW w:type="dxa" w:w="4680"/>
            <w:vAlign w:val="center"/>
            <w:shd w:fill="E8EEF5" w:val="clear"/>
          </w:tcPr>
          <w:p>
            <w:pPr>
              <w:pStyle w:val="SOPTableText"/>
            </w:pPr>
            <w:r>
              <w:rPr>
                <w:b/>
              </w:rPr>
              <w:t>Action</w:t>
            </w:r>
          </w:p>
        </w:tc>
        <w:tc>
          <w:tcPr>
            <w:tcW w:type="dxa" w:w="2160"/>
            <w:vAlign w:val="center"/>
            <w:shd w:fill="E8EEF5" w:val="clear"/>
          </w:tcPr>
          <w:p>
            <w:pPr>
              <w:pStyle w:val="SOPTableText"/>
            </w:pPr>
            <w:r>
              <w:rPr>
                <w:b/>
              </w:rPr>
              <w:t>Owner</w:t>
            </w:r>
          </w:p>
        </w:tc>
        <w:tc>
          <w:tcPr>
            <w:tcW w:type="dxa" w:w="2520"/>
            <w:vAlign w:val="center"/>
            <w:shd w:fill="E8EEF5" w:val="clear"/>
          </w:tcPr>
          <w:p>
            <w:pPr>
              <w:pStyle w:val="SOPTableText"/>
            </w:pPr>
            <w:r>
              <w:rPr>
                <w:b/>
              </w:rPr>
              <w:t>Due date</w:t>
            </w:r>
          </w:p>
        </w:tc>
      </w:tr>
      <w:tr>
        <w:tc>
          <w:tcPr>
            <w:tcW w:type="dxa" w:w="4680"/>
            <w:vAlign w:val="center"/>
          </w:tcPr>
          <w:p>
            <w:pPr>
              <w:pStyle w:val="SOPTableText"/>
            </w:pPr>
            <w:r>
              <w:t>Evidence-grounded next step</w:t>
            </w:r>
          </w:p>
        </w:tc>
        <w:tc>
          <w:tcPr>
            <w:tcW w:type="dxa" w:w="2160"/>
            <w:vAlign w:val="center"/>
          </w:tcPr>
          <w:p>
            <w:pPr>
              <w:pStyle w:val="SOPTableText"/>
            </w:pPr>
            <w:r>
              <w:t>Exact owner or Not provided</w:t>
            </w:r>
          </w:p>
        </w:tc>
        <w:tc>
          <w:tcPr>
            <w:tcW w:type="dxa" w:w="2520"/>
            <w:vAlign w:val="center"/>
          </w:tcPr>
          <w:p>
            <w:pPr>
              <w:pStyle w:val="SOPTableText"/>
            </w:pPr>
            <w:r>
              <w:t>Exact date or Not provided</w:t>
            </w:r>
          </w:p>
        </w:tc>
      </w:tr>
    </w:tbl>
    <w:p>
      <w:pPr>
        <w:pStyle w:val="Heading3"/>
      </w:pPr>
      <w:r>
        <w:t>Verification note</w:t>
      </w:r>
    </w:p>
    <w:p>
      <w:pPr/>
      <w:r>
        <w:t>State that the brief used only the supplied packet, name any calculation performed and say which facts still require confirmation.</w:t>
      </w:r>
    </w:p>
    <w:p>
      <w:pPr>
        <w:pStyle w:val="Heading2"/>
      </w:pPr>
      <w:r>
        <w:t>Final quality check</w:t>
      </w:r>
    </w:p>
    <w:p>
      <w:pPr/>
      <w:r>
        <w:t>Before returning the brief, confirm:</w:t>
      </w:r>
    </w:p>
    <w:p>
      <w:pPr>
        <w:pStyle w:val="SOPBullet"/>
        <w:numPr>
          <w:ilvl w:val="0"/>
          <w:numId w:val="11"/>
        </w:numPr>
      </w:pPr>
      <w:r>
        <w:t>every factual claim has a supplied source label;</w:t>
      </w:r>
    </w:p>
    <w:p>
      <w:pPr>
        <w:pStyle w:val="SOPBullet"/>
        <w:numPr>
          <w:ilvl w:val="0"/>
          <w:numId w:val="11"/>
        </w:numPr>
      </w:pPr>
      <w:r>
        <w:t>all mandatory criteria were tested separately;</w:t>
      </w:r>
    </w:p>
    <w:p>
      <w:pPr>
        <w:pStyle w:val="SOPBullet"/>
        <w:numPr>
          <w:ilvl w:val="0"/>
          <w:numId w:val="11"/>
        </w:numPr>
      </w:pPr>
      <w:r>
        <w:t>no missing fact was invented;</w:t>
      </w:r>
    </w:p>
    <w:p>
      <w:pPr>
        <w:pStyle w:val="SOPBullet"/>
        <w:numPr>
          <w:ilvl w:val="0"/>
          <w:numId w:val="11"/>
        </w:numPr>
      </w:pPr>
      <w:r>
        <w:t>conflicting statements remain visible;</w:t>
      </w:r>
    </w:p>
    <w:p>
      <w:pPr>
        <w:pStyle w:val="SOPBullet"/>
        <w:numPr>
          <w:ilvl w:val="0"/>
          <w:numId w:val="11"/>
        </w:numPr>
      </w:pPr>
      <w:r>
        <w:t>every calculation can be reproduced;</w:t>
      </w:r>
    </w:p>
    <w:p>
      <w:pPr>
        <w:pStyle w:val="SOPBullet"/>
        <w:numPr>
          <w:ilvl w:val="0"/>
          <w:numId w:val="11"/>
        </w:numPr>
      </w:pPr>
      <w:r>
        <w:t>pending work is not described as complete; and</w:t>
      </w:r>
    </w:p>
    <w:p>
      <w:pPr>
        <w:pStyle w:val="SOPBullet"/>
        <w:numPr>
          <w:ilvl w:val="0"/>
          <w:numId w:val="11"/>
        </w:numPr>
      </w:pPr>
      <w:r>
        <w:t>all seven required sections appear in the required order.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  <w:rPr>
        <w:rFonts w:ascii="Calibri" w:hAnsi="Calibri"/>
      </w:r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  <w:rPr>
        <w:rFonts w:ascii="Calibri" w:hAnsi="Calibri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300" w:lineRule="auto"/>
      <w:jc w:val="left"/>
    </w:pPr>
    <w:rPr>
      <w:rFonts w:ascii="Calibri" w:hAnsi="Calibri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 w:line="240" w:lineRule="auto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 w:line="240" w:lineRule="auto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 w:line="240" w:lineRule="auto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PMetadata">
    <w:name w:val="SOP Metadata"/>
    <w:pPr>
      <w:keepLines/>
      <w:spacing w:before="0" w:after="0" w:line="240" w:lineRule="auto"/>
    </w:pPr>
    <w:rPr>
      <w:rFonts w:ascii="Consolas" w:hAnsi="Consolas"/>
      <w:color w:val="44546A"/>
      <w:sz w:val="18"/>
    </w:rPr>
  </w:style>
  <w:style w:type="paragraph" w:customStyle="1" w:styleId="SOPNumber">
    <w:name w:val="SOP Number"/>
    <w:pPr>
      <w:widowControl/>
      <w:spacing w:before="0" w:after="80" w:line="300" w:lineRule="auto"/>
    </w:pPr>
    <w:rPr>
      <w:rFonts w:ascii="Calibri" w:hAnsi="Calibri"/>
      <w:color w:val="172033"/>
      <w:sz w:val="22"/>
    </w:rPr>
  </w:style>
  <w:style w:type="paragraph" w:customStyle="1" w:styleId="SOPBullet">
    <w:name w:val="SOP Bullet"/>
    <w:pPr>
      <w:widowControl/>
      <w:spacing w:before="0" w:after="80" w:line="300" w:lineRule="auto"/>
    </w:pPr>
    <w:rPr>
      <w:rFonts w:ascii="Calibri" w:hAnsi="Calibri"/>
      <w:color w:val="172033"/>
      <w:sz w:val="22"/>
    </w:rPr>
  </w:style>
  <w:style w:type="paragraph" w:customStyle="1" w:styleId="SOPTableText">
    <w:name w:val="SOP Table Text"/>
    <w:pPr>
      <w:spacing w:before="0" w:after="0" w:line="240" w:lineRule="auto"/>
    </w:pPr>
    <w:rPr>
      <w:rFonts w:ascii="Calibri" w:hAnsi="Calibri"/>
      <w:color w:val="172033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Brief SOP</dc:title>
  <dc:subject>Source-grounded evidence brief standard operating procedure</dc:subject>
  <dc:creator>KI AI Team</dc:creator>
  <cp:keywords>evidence brief, SOP, source-grounded analysis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