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40"/>
      </w:pPr>
      <w:r>
        <w:rPr>
          <w:rFonts w:ascii="Calibri" w:hAnsi="Calibri" w:eastAsia="Calibri" w:cs="Calibri"/>
          <w:b/>
          <w:color w:val="2E74B5"/>
          <w:sz w:val="19"/>
        </w:rPr>
        <w:t>CONTROLLED TEST COPY</w:t>
      </w:r>
    </w:p>
    <w:p>
      <w:pPr>
        <w:pStyle w:val="Title"/>
      </w:pPr>
      <w:r>
        <w:t>OPERATIONS READINESS MEMO</w:t>
      </w:r>
    </w:p>
    <w:p>
      <w:pPr>
        <w:pStyle w:val="Subtitle"/>
      </w:pPr>
      <w:r>
        <w:t>Northstar Service Desk - Q2 2026 Review</w:t>
      </w:r>
    </w:p>
    <w:p>
      <w:pPr>
        <w:spacing w:before="0" w:after="40" w:line="240" w:lineRule="auto"/>
      </w:pPr>
      <w:r>
        <w:rPr>
          <w:rFonts w:ascii="Calibri" w:hAnsi="Calibri" w:eastAsia="Calibri" w:cs="Calibri"/>
          <w:b/>
          <w:color w:val="172033"/>
          <w:sz w:val="21"/>
        </w:rPr>
        <w:t xml:space="preserve">To: </w:t>
      </w:r>
      <w:r>
        <w:rPr>
          <w:rFonts w:ascii="Calibri" w:hAnsi="Calibri" w:eastAsia="Calibri" w:cs="Calibri"/>
          <w:color w:val="172033"/>
          <w:sz w:val="21"/>
        </w:rPr>
        <w:t>Service Operations Leadership</w:t>
      </w:r>
    </w:p>
    <w:p>
      <w:pPr>
        <w:spacing w:before="0" w:after="40" w:line="240" w:lineRule="auto"/>
      </w:pPr>
      <w:r>
        <w:rPr>
          <w:rFonts w:ascii="Calibri" w:hAnsi="Calibri" w:eastAsia="Calibri" w:cs="Calibri"/>
          <w:b/>
          <w:color w:val="172033"/>
          <w:sz w:val="21"/>
        </w:rPr>
        <w:t xml:space="preserve">From: </w:t>
      </w:r>
      <w:r>
        <w:rPr>
          <w:rFonts w:ascii="Calibri" w:hAnsi="Calibri" w:eastAsia="Calibri" w:cs="Calibri"/>
          <w:color w:val="172033"/>
          <w:sz w:val="21"/>
        </w:rPr>
        <w:t>Quality and Enablement Office</w:t>
      </w:r>
    </w:p>
    <w:p>
      <w:pPr>
        <w:spacing w:before="0" w:after="40" w:line="240" w:lineRule="auto"/>
      </w:pPr>
      <w:r>
        <w:rPr>
          <w:rFonts w:ascii="Calibri" w:hAnsi="Calibri" w:eastAsia="Calibri" w:cs="Calibri"/>
          <w:b/>
          <w:color w:val="172033"/>
          <w:sz w:val="21"/>
        </w:rPr>
        <w:t xml:space="preserve">Date: </w:t>
      </w:r>
      <w:r>
        <w:rPr>
          <w:rFonts w:ascii="Calibri" w:hAnsi="Calibri" w:eastAsia="Calibri" w:cs="Calibri"/>
          <w:color w:val="172033"/>
          <w:sz w:val="21"/>
        </w:rPr>
        <w:t>July 15, 2026</w:t>
      </w:r>
    </w:p>
    <w:p>
      <w:pPr>
        <w:spacing w:before="0" w:after="40" w:line="240" w:lineRule="auto"/>
      </w:pPr>
      <w:r>
        <w:rPr>
          <w:rFonts w:ascii="Calibri" w:hAnsi="Calibri" w:eastAsia="Calibri" w:cs="Calibri"/>
          <w:b/>
          <w:color w:val="172033"/>
          <w:sz w:val="21"/>
        </w:rPr>
        <w:t xml:space="preserve">Subject: </w:t>
      </w:r>
      <w:r>
        <w:rPr>
          <w:rFonts w:ascii="Calibri" w:hAnsi="Calibri" w:eastAsia="Calibri" w:cs="Calibri"/>
          <w:color w:val="172033"/>
          <w:sz w:val="21"/>
        </w:rPr>
        <w:t>Q2 performance and Q3 corrective actions</w:t>
      </w:r>
    </w:p>
    <w:p>
      <w:pPr>
        <w:spacing w:before="100" w:after="200"/>
        <w:pBdr>
          <w:bottom w:val="single" w:sz="10" w:space="5" w:color="2E74B5"/>
        </w:pBdr>
      </w:pPr>
    </w:p>
    <w:p>
      <w:pPr>
        <w:spacing w:before="40" w:after="160"/>
        <w:ind w:left="173" w:right="115"/>
        <w:shd w:fill="F4F6F9"/>
        <w:pBdr>
          <w:left w:val="single" w:sz="18" w:space="7" w:color="2E74B5"/>
        </w:pBdr>
      </w:pPr>
      <w:r>
        <w:rPr>
          <w:rFonts w:ascii="Calibri" w:hAnsi="Calibri" w:eastAsia="Calibri" w:cs="Calibri"/>
          <w:b/>
          <w:color w:val="1F4D78"/>
          <w:sz w:val="21"/>
        </w:rPr>
        <w:t xml:space="preserve">Purpose: </w:t>
      </w:r>
      <w:r>
        <w:rPr>
          <w:rFonts w:ascii="Calibri" w:hAnsi="Calibri" w:eastAsia="Calibri" w:cs="Calibri"/>
          <w:color w:val="172033"/>
          <w:sz w:val="21"/>
        </w:rPr>
        <w:t>This memo summarizes a synthetic Q2 service-desk result and proposes Q3 corrective actions. Appendix A is the authoritative record for all names, dates, units, and figures.</w:t>
      </w:r>
    </w:p>
    <w:p>
      <w:pPr>
        <w:pStyle w:val="Heading1"/>
      </w:pPr>
      <w:r>
        <w:t>Executive summary</w:t>
      </w:r>
    </w:p>
    <w:p>
      <w:r>
        <w:t>The pilot sucessfully processed 1,284 tickets while meeting the 24-hour service target on 92.0% of cases. The pilot results shows that the revised triage workflow is ready for broader use, provided the open escalation actions are closed.</w:t>
      </w:r>
    </w:p>
    <w:p>
      <w:pPr>
        <w:pStyle w:val="Heading2"/>
      </w:pPr>
      <w:r>
        <w:t>Reporting scope</w:t>
      </w:r>
    </w:p>
    <w:p>
      <w:r>
        <w:t>This review describes Q2 2026 as April 1 through July 30, 2026. All dates in the final version should follow ISO 8601 notation (NIST, 2023).</w:t>
      </w:r>
    </w:p>
    <w:p>
      <w:pPr>
        <w:pStyle w:val="Heading2"/>
      </w:pPr>
      <w:r>
        <w:t>Performance interpretation</w:t>
      </w:r>
    </w:p>
    <w:p>
      <w:r>
        <w:t>Ticket volume increased 8.4% from Q1 to Q2. Median resolution time fell to 7.5 minutes, and the the escalation count declined from 94 to 86.</w:t>
      </w:r>
    </w:p>
    <w:p>
      <w:r>
        <w:t>When Operations briefed Support, they confirmed that the queue would remain staffed during the rollout. North Star Service Desk will start the next phase on August 3.</w:t>
      </w:r>
    </w:p>
    <w:p>
      <w:pPr>
        <w:pStyle w:val="Heading2"/>
      </w:pPr>
      <w:r>
        <w:t>Readiness conclusion</w:t>
      </w:r>
    </w:p>
    <w:p>
      <w:r>
        <w:t>Because volume increased while SLA performance declined, the recommended approach is a monitored rollout with daily queue review during the first two weeks. This conclusion is directional and applies only to the synthetic record in this memo.</w:t>
      </w:r>
    </w:p>
    <w:p>
      <w:r>
        <w:br w:type="page"/>
      </w:r>
    </w:p>
    <w:p>
      <w:pPr>
        <w:pStyle w:val="Heading1"/>
      </w:pPr>
      <w:r>
        <w:t>Evidence tables</w:t>
      </w:r>
    </w:p>
    <w:p>
      <w:pPr>
        <w:pStyle w:val="Caption"/>
      </w:pPr>
      <w:r>
        <w:t>Table 1. Service baseline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</w:tblBorders>
        <w:tblCellMar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</w:tblCellMar>
      </w:tblPr>
      <w:tblGrid>
        <w:gridCol w:w="3240"/>
        <w:gridCol w:w="1440"/>
        <w:gridCol w:w="1440"/>
        <w:gridCol w:w="3240"/>
      </w:tblGrid>
      <w:tr>
        <w:trPr>
          <w:tblHeader w:val="true"/>
        </w:trPr>
        <w:tc>
          <w:tcPr>
            <w:tcW w:type="dxa" w:w="324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Metric</w:t>
            </w:r>
          </w:p>
        </w:tc>
        <w:tc>
          <w:tcPr>
            <w:tcW w:type="dxa" w:w="144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Q2 2026</w:t>
            </w:r>
          </w:p>
        </w:tc>
        <w:tc>
          <w:tcPr>
            <w:tcW w:type="dxa" w:w="144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Q1 2026</w:t>
            </w:r>
          </w:p>
        </w:tc>
        <w:tc>
          <w:tcPr>
            <w:tcW w:type="dxa" w:w="324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Unit / definition</w:t>
            </w:r>
          </w:p>
        </w:tc>
      </w:tr>
      <w:tr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Tickets received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1,248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1,120</w:t>
            </w:r>
          </w:p>
        </w:tc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Tickets</w:t>
            </w:r>
          </w:p>
        </w:tc>
      </w:tr>
      <w:tr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Within 24-hour SLA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1,115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1,032</w:t>
            </w:r>
          </w:p>
        </w:tc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Tickets</w:t>
            </w:r>
          </w:p>
        </w:tc>
      </w:tr>
      <w:tr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SLA rate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89.3%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92.1%</w:t>
            </w:r>
          </w:p>
        </w:tc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Hits / received</w:t>
            </w:r>
          </w:p>
        </w:tc>
      </w:tr>
      <w:tr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Median resolution time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7.5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8.2</w:t>
            </w:r>
          </w:p>
        </w:tc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Minutes</w:t>
            </w:r>
          </w:p>
        </w:tc>
      </w:tr>
      <w:tr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Escalations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86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94</w:t>
            </w:r>
          </w:p>
        </w:tc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Tickets</w:t>
            </w:r>
          </w:p>
        </w:tc>
      </w:tr>
      <w:tr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Customer satisfaction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4.4</w:t>
            </w:r>
          </w:p>
        </w:tc>
        <w:tc>
          <w:tcPr>
            <w:tcW w:type="dxa" w:w="144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4.2</w:t>
            </w:r>
          </w:p>
        </w:tc>
        <w:tc>
          <w:tcPr>
            <w:tcW w:type="dxa" w:w="324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5-point scale</w:t>
            </w:r>
          </w:p>
        </w:tc>
      </w:tr>
    </w:tbl>
    <w:p>
      <w:pPr>
        <w:pStyle w:val="TableSource"/>
      </w:pPr>
      <w:r>
        <w:t>Source: Appendix A. Percentages are rounded to one decimal place.</w:t>
      </w:r>
    </w:p>
    <w:p>
      <w:pPr>
        <w:pStyle w:val="Caption"/>
      </w:pPr>
      <w:r>
        <w:t>Table 2. Q2 ticket mix by channel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</w:tblBorders>
        <w:tblCellMar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</w:tblCellMar>
      </w:tblPr>
      <w:tblGrid>
        <w:gridCol w:w="4320"/>
        <w:gridCol w:w="2160"/>
        <w:gridCol w:w="2880"/>
      </w:tblGrid>
      <w:tr>
        <w:trPr>
          <w:tblHeader w:val="true"/>
        </w:trPr>
        <w:tc>
          <w:tcPr>
            <w:tcW w:type="dxa" w:w="432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Channel</w:t>
            </w:r>
          </w:p>
        </w:tc>
        <w:tc>
          <w:tcPr>
            <w:tcW w:type="dxa" w:w="216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Q2 tickets</w:t>
            </w:r>
          </w:p>
        </w:tc>
        <w:tc>
          <w:tcPr>
            <w:tcW w:type="dxa" w:w="288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Share</w:t>
            </w:r>
          </w:p>
        </w:tc>
      </w:tr>
      <w:tr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Email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610</w:t>
            </w:r>
          </w:p>
        </w:tc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48.9%</w:t>
            </w:r>
          </w:p>
        </w:tc>
      </w:tr>
      <w:tr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Chat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420</w:t>
            </w:r>
          </w:p>
        </w:tc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33.7%</w:t>
            </w:r>
          </w:p>
        </w:tc>
      </w:tr>
      <w:tr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Portal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218</w:t>
            </w:r>
          </w:p>
        </w:tc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17.5%</w:t>
            </w:r>
          </w:p>
        </w:tc>
      </w:tr>
      <w:tr>
        <w:tc>
          <w:tcPr>
            <w:tcW w:type="dxa" w:w="4320"/>
            <w:shd w:fill="F4F6F9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/>
                <w:color w:val="172033"/>
                <w:sz w:val="18"/>
              </w:rPr>
              <w:t>Total</w:t>
            </w:r>
          </w:p>
        </w:tc>
        <w:tc>
          <w:tcPr>
            <w:tcW w:type="dxa" w:w="2160"/>
            <w:shd w:fill="F4F6F9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72033"/>
                <w:sz w:val="18"/>
              </w:rPr>
              <w:t>1,284</w:t>
            </w:r>
          </w:p>
        </w:tc>
        <w:tc>
          <w:tcPr>
            <w:tcW w:type="dxa" w:w="2880"/>
            <w:shd w:fill="F4F6F9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/>
                <w:color w:val="172033"/>
                <w:sz w:val="18"/>
              </w:rPr>
              <w:t>100.0%</w:t>
            </w:r>
          </w:p>
        </w:tc>
      </w:tr>
    </w:tbl>
    <w:p>
      <w:pPr>
        <w:pStyle w:val="TableSource"/>
      </w:pPr>
      <w:r>
        <w:t>Source: Appendix A. Displayed component shares may sum to 100.1% because of rounding.</w:t>
      </w:r>
    </w:p>
    <w:p>
      <w:pPr>
        <w:pStyle w:val="Heading1"/>
      </w:pPr>
      <w:r>
        <w:t>Q3 actions</w:t>
      </w:r>
    </w:p>
    <w:p>
      <w:r>
        <w:t>Each analyst were asked to complete checklist before the new routing rules are enabled.</w:t>
      </w:r>
    </w:p>
    <w:p>
      <w:r>
        <w:t>Managers should verify queue coverage, review escalation ownership, and confirm that weekly reporting uses the canonical definitions in Appendix A. No action should alter the source record.</w:t>
      </w:r>
    </w:p>
    <w:p>
      <w:pPr>
        <w:pStyle w:val="Heading2"/>
      </w:pPr>
      <w:r>
        <w:t>Review constraints</w:t>
      </w:r>
    </w:p>
    <w:p>
      <w:r>
        <w:t>Corrections should be targeted. The masthead, accurate passages, tables, Appendix A, and official source links should remain editable and structurally intact in the returned document.</w:t>
      </w:r>
    </w:p>
    <w:p>
      <w:r>
        <w:br w:type="page"/>
      </w:r>
    </w:p>
    <w:p>
      <w:pPr>
        <w:pStyle w:val="Heading1"/>
      </w:pPr>
      <w:r>
        <w:t>Reference notes</w:t>
      </w:r>
    </w:p>
    <w:p>
      <w:r>
        <w:t>NIST published AI Risk Management Framework 1.0 in 2024 (NIST, 2023).</w:t>
      </w:r>
    </w:p>
    <w:p>
      <w:r>
        <w:t xml:space="preserve">ISO. </w:t>
      </w:r>
      <w:hyperlink r:id="rId11">
        <w:r>
          <w:rPr>
            <w:color w:val="0563C1"/>
            <w:u w:val="single"/>
          </w:rPr>
          <w:t>ISO 8601 date and time format</w:t>
        </w:r>
      </w:hyperlink>
      <w:r>
        <w:t>. Accessed August 4, 2026.</w:t>
      </w:r>
    </w:p>
    <w:p>
      <w:r>
        <w:t xml:space="preserve">NIST. </w:t>
      </w:r>
      <w:hyperlink r:id="rId12">
        <w:r>
          <w:rPr>
            <w:color w:val="0563C1"/>
            <w:u w:val="single"/>
          </w:rPr>
          <w:t>AI Risk Management Framework</w:t>
        </w:r>
      </w:hyperlink>
      <w:r>
        <w:t>. Accessed August 4, 2026.</w:t>
      </w:r>
    </w:p>
    <w:p>
      <w:pPr>
        <w:pStyle w:val="Heading1"/>
      </w:pPr>
      <w:r>
        <w:t>Appendix A - authoritative synthetic source record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  <w:top w:val="single" w:sz="4" w:space="0" w:color="CBD3DE"/>
          <w:left w:val="single" w:sz="4" w:space="0" w:color="CBD3DE"/>
          <w:bottom w:val="single" w:sz="4" w:space="0" w:color="CBD3DE"/>
          <w:right w:val="single" w:sz="4" w:space="0" w:color="CBD3DE"/>
          <w:insideH w:val="single" w:sz="4" w:space="0" w:color="CBD3DE"/>
          <w:insideV w:val="single" w:sz="4" w:space="0" w:color="CBD3DE"/>
        </w:tblBorders>
        <w:tblCellMar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  <w:top w:w="80" w:type="dxa"/>
          <w:bottom w:w="80" w:type="dxa"/>
          <w:start w:w="120" w:type="dxa"/>
          <w:end w:w="120" w:type="dxa"/>
        </w:tblCellMar>
      </w:tblPr>
      <w:tblGrid>
        <w:gridCol w:w="2880"/>
        <w:gridCol w:w="2160"/>
        <w:gridCol w:w="4320"/>
      </w:tblGrid>
      <w:tr>
        <w:trPr>
          <w:tblHeader w:val="true"/>
        </w:trPr>
        <w:tc>
          <w:tcPr>
            <w:tcW w:type="dxa" w:w="288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Field</w:t>
            </w:r>
          </w:p>
        </w:tc>
        <w:tc>
          <w:tcPr>
            <w:tcW w:type="dxa" w:w="216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Canonical value</w:t>
            </w:r>
          </w:p>
        </w:tc>
        <w:tc>
          <w:tcPr>
            <w:tcW w:type="dxa" w:w="4320"/>
            <w:shd w:fill="E8EEF5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/>
                <w:color w:val="1F4D78"/>
                <w:sz w:val="18"/>
              </w:rPr>
              <w:t>Verification note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product_name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Northstar Service Desk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Canonical product spelling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q2_start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2026-04-01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ISO 8601 date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q2_end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2026-06-30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ISO 8601 date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q2_tickets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1,248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Synthetic service export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q1_tickets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1,120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Synthetic service export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q2_sla_hits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1,115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Cases within 24 hours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q2_sla_rate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89.3%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1,115 / 1,248; 1 decimal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median_resolution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7.5 hours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Q2 canonical unit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escalations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86 Q2; 94 Q1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Synthetic service export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channel_email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610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Q2 tickets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channel_chat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420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Q2 tickets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channel_portal</w:t>
            </w:r>
          </w:p>
        </w:tc>
        <w:tc>
          <w:tcPr>
            <w:tcW w:type="dxa" w:w="2160"/>
            <w:vAlign w:val="center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218</w:t>
            </w:r>
          </w:p>
        </w:tc>
        <w:tc>
          <w:tcPr>
            <w:tcW w:type="dxa" w:w="4320"/>
            <w:vAlign w:val="center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Calibri" w:hAnsi="Calibri" w:eastAsia="Calibri" w:cs="Calibri"/>
                <w:b w:val="0"/>
                <w:color w:val="172033"/>
                <w:sz w:val="18"/>
              </w:rPr>
              <w:t>Q2 tickets</w:t>
            </w:r>
          </w:p>
        </w:tc>
      </w:tr>
    </w:tbl>
    <w:p>
      <w:pPr>
        <w:pStyle w:val="TableSource"/>
      </w:pPr>
      <w:r>
        <w:t>Controlled source note: the channel counts sum to 1,248, and Q2 ticket growth is (1,248 - 1,120) / 1,120 = 11.4% when rounded to one decimal place.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 w:cs="Calibri"/>
        <w:color w:val="5D6778"/>
        <w:sz w:val="17"/>
      </w:rPr>
      <w:t xml:space="preserve">Page </w:t>
    </w:r>
    <w:r>
      <w:rPr>
        <w:rFonts w:ascii="Calibri" w:hAnsi="Calibri" w:eastAsia="Calibri" w:cs="Calibri"/>
        <w:color w:val="5D6778"/>
        <w:sz w:val="17"/>
      </w:rPr>
      <w:fldChar w:fldCharType="begin"/>
    </w:r>
    <w:r>
      <w:rPr>
        <w:rFonts w:ascii="Calibri" w:hAnsi="Calibri" w:eastAsia="Calibri" w:cs="Calibri"/>
        <w:color w:val="5D6778"/>
        <w:sz w:val="17"/>
      </w:rPr>
      <w:instrText xml:space="preserve"> PAGE </w:instrText>
    </w:r>
    <w:r>
      <w:rPr>
        <w:rFonts w:ascii="Calibri" w:hAnsi="Calibri" w:eastAsia="Calibri" w:cs="Calibri"/>
        <w:color w:val="5D6778"/>
        <w:sz w:val="17"/>
      </w:rPr>
      <w:fldChar w:fldCharType="separate"/>
    </w:r>
    <w:r>
      <w:rPr>
        <w:rFonts w:ascii="Calibri" w:hAnsi="Calibri" w:eastAsia="Calibri" w:cs="Calibri"/>
        <w:color w:val="5D6778"/>
        <w:sz w:val="17"/>
      </w:rPr>
      <w:t>1</w:t>
    </w:r>
    <w:r>
      <w:rPr>
        <w:rFonts w:ascii="Calibri" w:hAnsi="Calibri" w:eastAsia="Calibri" w:cs="Calibri"/>
        <w:color w:val="5D6778"/>
        <w:sz w:val="17"/>
      </w:rP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pos="9360" w:val="left"/>
      </w:tabs>
      <w:spacing w:after="0"/>
      <w:jc w:val="left"/>
    </w:pPr>
    <w:r>
      <w:rPr>
        <w:rFonts w:ascii="Calibri" w:hAnsi="Calibri" w:eastAsia="Calibri" w:cs="Calibri"/>
        <w:b/>
        <w:color w:val="5D6778"/>
        <w:sz w:val="17"/>
      </w:rPr>
      <w:t>CONTROLLED EDITING FIXTURE</w:t>
    </w:r>
    <w:r>
      <w:rPr>
        <w:rFonts w:ascii="Calibri" w:hAnsi="Calibri" w:eastAsia="Calibri" w:cs="Calibri"/>
        <w:color w:val="5D6778"/>
        <w:sz w:val="17"/>
      </w:rPr>
      <w:tab/>
      <w:t>Northstar Service Desk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 w:cs="Calibri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 w:line="240" w:lineRule="auto"/>
      <w:outlineLvl w:val="0"/>
    </w:pPr>
    <w:rPr>
      <w:rFonts w:asciiTheme="majorHAnsi" w:eastAsiaTheme="majorEastAsia" w:hAnsiTheme="majorHAnsi" w:cstheme="majorBidi" w:ascii="Calibri" w:hAnsi="Calibri" w:eastAsia="Calibri" w:cs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 w:line="240" w:lineRule="auto"/>
      <w:outlineLvl w:val="1"/>
    </w:pPr>
    <w:rPr>
      <w:rFonts w:asciiTheme="majorHAnsi" w:eastAsiaTheme="majorEastAsia" w:hAnsiTheme="majorHAnsi" w:cstheme="majorBidi" w:ascii="Calibri" w:hAnsi="Calibri" w:eastAsia="Calibri" w:cs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 w:line="240" w:lineRule="auto"/>
      <w:outlineLvl w:val="2"/>
    </w:pPr>
    <w:rPr>
      <w:rFonts w:asciiTheme="majorHAnsi" w:eastAsiaTheme="majorEastAsia" w:hAnsiTheme="majorHAnsi" w:cstheme="majorBidi" w:ascii="Calibri" w:hAnsi="Calibri" w:eastAsia="Calibri" w:cs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Calibri" w:hAnsi="Calibri" w:eastAsia="Calibri" w:cs="Calibri"/>
      <w:b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280" w:line="240" w:lineRule="auto"/>
    </w:pPr>
    <w:rPr>
      <w:rFonts w:asciiTheme="majorHAnsi" w:eastAsiaTheme="majorEastAsia" w:hAnsiTheme="majorHAnsi" w:cstheme="majorBidi" w:ascii="Calibri" w:hAnsi="Calibri" w:eastAsia="Calibri" w:cs="Calibri"/>
      <w:b w:val="0"/>
      <w:i/>
      <w:iCs/>
      <w:color w:val="464646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keepNext/>
      <w:spacing w:line="240" w:lineRule="auto" w:before="80" w:after="80"/>
    </w:pPr>
    <w:rPr>
      <w:rFonts w:ascii="Calibri" w:hAnsi="Calibri" w:eastAsia="Calibri" w:cs="Calibri"/>
      <w:b/>
      <w:bCs/>
      <w:color w:val="1F4D78"/>
      <w:sz w:val="19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Source">
    <w:name w:val="Table Source"/>
    <w:pPr>
      <w:spacing w:before="80" w:after="80" w:line="240" w:lineRule="auto"/>
    </w:pPr>
    <w:rPr>
      <w:rFonts w:ascii="Calibri" w:hAnsi="Calibri" w:eastAsia="Calibri" w:cs="Calibri"/>
      <w:i/>
      <w:color w:val="5D6778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www.iso.org/iso-8601-date-and-time-format.htmlx" TargetMode="External"/><Relationship Id="rId12" Type="http://schemas.openxmlformats.org/officeDocument/2006/relationships/hyperlink" Target="https://www.nist.gov/itl/ai-risk-management-framewor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Operations Readiness Memo - Controlled Editing Fixture</dc:title>
  <dc:subject>Synthetic Kimi Docs review fixture with intentional errors</dc:subject>
  <dc:creator>KI AI Team</dc:creator>
  <cp:keywords>synthetic fixture, document review, editing test</cp:keywords>
  <dc:description>Contains intentional errors documented separately in ground_truth.json.</dc:description>
  <cp:lastModifiedBy/>
  <cp:revision>1</cp:revision>
  <dcterms:created xsi:type="dcterms:W3CDTF">2013-12-23T23:15:00Z</dcterms:created>
  <dcterms:modified xsi:type="dcterms:W3CDTF">2013-12-23T23:15:00Z</dcterms:modified>
  <cp:category>Quality Assurance Fixture</cp:category>
</cp:coreProperties>
</file>